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63" w:rsidRDefault="008C4A63"/>
    <w:p w:rsidR="00B3060E" w:rsidRDefault="00B3060E"/>
    <w:p w:rsidR="00DD08CC" w:rsidRDefault="00B3060E">
      <w:r>
        <w:rPr>
          <w:noProof/>
          <w:lang w:val="en-NZ" w:eastAsia="en-NZ"/>
        </w:rPr>
        <w:drawing>
          <wp:inline distT="0" distB="0" distL="0" distR="0" wp14:anchorId="07A6CC85" wp14:editId="2500AEE2">
            <wp:extent cx="5448300" cy="35337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08CC" w:rsidRDefault="00DD08CC"/>
    <w:p w:rsidR="00DD08CC" w:rsidRDefault="00DD08CC"/>
    <w:p w:rsidR="00DD08CC" w:rsidRPr="001F017C" w:rsidRDefault="00DD08CC" w:rsidP="00DD08CC">
      <w:pPr>
        <w:pStyle w:val="ListParagraph"/>
        <w:numPr>
          <w:ilvl w:val="0"/>
          <w:numId w:val="1"/>
        </w:numPr>
        <w:rPr>
          <w:b/>
        </w:rPr>
      </w:pPr>
      <w:r w:rsidRPr="001F017C">
        <w:rPr>
          <w:b/>
        </w:rPr>
        <w:t>Exclusive Property Press Market Intelligence</w:t>
      </w:r>
    </w:p>
    <w:p w:rsidR="00DD08CC" w:rsidRDefault="00DD08CC"/>
    <w:p w:rsidR="00B3060E" w:rsidRPr="00B3060E" w:rsidRDefault="00B3060E">
      <w:pPr>
        <w:rPr>
          <w:b/>
          <w:sz w:val="32"/>
          <w:szCs w:val="32"/>
        </w:rPr>
      </w:pPr>
      <w:r w:rsidRPr="00B3060E">
        <w:rPr>
          <w:b/>
          <w:sz w:val="32"/>
          <w:szCs w:val="32"/>
        </w:rPr>
        <w:t>Projections for 2017: Fewer definite buyers and sellers</w:t>
      </w:r>
    </w:p>
    <w:p w:rsidR="00B3060E" w:rsidRDefault="00B3060E"/>
    <w:p w:rsidR="00B3060E" w:rsidRDefault="00B3060E">
      <w:r>
        <w:t>The number of people nationwide saying they will “definitely” buy or sell a residential property in the next 12 months has decreased.</w:t>
      </w:r>
    </w:p>
    <w:p w:rsidR="00B3060E" w:rsidRDefault="00B3060E"/>
    <w:p w:rsidR="00B3060E" w:rsidRDefault="00B3060E">
      <w:r>
        <w:t>Property Press has been tracking definite buying and selling intentions since 2010 to provide an accurate indication of demand and supply pressures.</w:t>
      </w:r>
    </w:p>
    <w:p w:rsidR="00B3060E" w:rsidRDefault="00B3060E"/>
    <w:p w:rsidR="00B3060E" w:rsidRPr="007A07ED" w:rsidRDefault="00B3060E" w:rsidP="00B3060E">
      <w:r>
        <w:t>The</w:t>
      </w:r>
      <w:r w:rsidRPr="007A07ED">
        <w:t xml:space="preserve"> February 2017 national dwelling buying intention decreased markedly </w:t>
      </w:r>
      <w:r>
        <w:t>since the previous June</w:t>
      </w:r>
      <w:r w:rsidRPr="007A07ED">
        <w:t xml:space="preserve"> 2016 </w:t>
      </w:r>
      <w:r>
        <w:t>survey</w:t>
      </w:r>
      <w:r w:rsidRPr="007A07ED">
        <w:t xml:space="preserve">.  Although the gap between definite buyers and definite sellers has decreased since </w:t>
      </w:r>
      <w:r>
        <w:t>June</w:t>
      </w:r>
      <w:r w:rsidRPr="007A07ED">
        <w:t xml:space="preserve"> 2016, it remains significant.</w:t>
      </w:r>
    </w:p>
    <w:p w:rsidR="00B3060E" w:rsidRPr="007A07ED" w:rsidRDefault="00B3060E" w:rsidP="00B3060E">
      <w:pPr>
        <w:ind w:left="426"/>
      </w:pPr>
    </w:p>
    <w:p w:rsidR="00B3060E" w:rsidRPr="007A07ED" w:rsidRDefault="00B3060E" w:rsidP="00B3060E">
      <w:r w:rsidRPr="007A07ED">
        <w:t xml:space="preserve">5.6% of respondents said they were definitely looking to buy in the next twelve months compared to 8.4% in </w:t>
      </w:r>
      <w:r>
        <w:t>June</w:t>
      </w:r>
      <w:r w:rsidRPr="007A07ED">
        <w:t xml:space="preserve"> 2016.  </w:t>
      </w:r>
    </w:p>
    <w:p w:rsidR="00B3060E" w:rsidRPr="007A07ED" w:rsidRDefault="00B3060E" w:rsidP="00B3060E">
      <w:pPr>
        <w:ind w:left="426"/>
      </w:pPr>
    </w:p>
    <w:p w:rsidR="00B3060E" w:rsidRDefault="00B3060E" w:rsidP="00B3060E">
      <w:r w:rsidRPr="007A07ED">
        <w:t xml:space="preserve">Definite supply, at 2.5%, was the lowest measured </w:t>
      </w:r>
      <w:r>
        <w:t xml:space="preserve">to date (i.e. </w:t>
      </w:r>
      <w:r w:rsidRPr="007A07ED">
        <w:t>since October 2010</w:t>
      </w:r>
      <w:r>
        <w:t xml:space="preserve">), continuing the </w:t>
      </w:r>
      <w:r w:rsidRPr="007A07ED">
        <w:t>general downward trend evident since September 2012.</w:t>
      </w:r>
    </w:p>
    <w:p w:rsidR="00A16451" w:rsidRDefault="00A16451" w:rsidP="00A16451">
      <w:pPr>
        <w:rPr>
          <w:b/>
        </w:rPr>
      </w:pPr>
    </w:p>
    <w:p w:rsidR="00A16451" w:rsidRPr="009C2E55" w:rsidRDefault="00A16451" w:rsidP="00A16451">
      <w:pPr>
        <w:rPr>
          <w:b/>
        </w:rPr>
      </w:pPr>
      <w:r w:rsidRPr="009C2E55">
        <w:rPr>
          <w:b/>
        </w:rPr>
        <w:t xml:space="preserve">Definitely </w:t>
      </w:r>
      <w:r>
        <w:rPr>
          <w:b/>
        </w:rPr>
        <w:t>sell</w:t>
      </w:r>
      <w:r w:rsidRPr="009C2E55">
        <w:rPr>
          <w:b/>
        </w:rPr>
        <w:t>, at 2.5%, was the lowest measured since the start of the survey series in October 2010, and continues a general downward trend evident since September 2012.</w:t>
      </w:r>
    </w:p>
    <w:p w:rsidR="00A16451" w:rsidRPr="007A07ED" w:rsidRDefault="00A16451" w:rsidP="00B3060E"/>
    <w:p w:rsidR="00B3060E" w:rsidRPr="007A07ED" w:rsidRDefault="00B3060E" w:rsidP="00B3060E">
      <w:pPr>
        <w:ind w:left="426"/>
      </w:pPr>
    </w:p>
    <w:p w:rsidR="00B3060E" w:rsidRDefault="00B3060E" w:rsidP="00B3060E">
      <w:r w:rsidRPr="007A07ED">
        <w:t>Supply is only 45% of demand (assuming one property is offered for sale for each respondent who is “definitely going to sell”</w:t>
      </w:r>
      <w:r>
        <w:t xml:space="preserve"> and each “definite” buyer represents one individual property</w:t>
      </w:r>
      <w:r w:rsidRPr="007A07ED">
        <w:t>).</w:t>
      </w:r>
    </w:p>
    <w:p w:rsidR="00B3060E" w:rsidRDefault="00B3060E" w:rsidP="00B3060E">
      <w:pPr>
        <w:ind w:left="426"/>
      </w:pPr>
    </w:p>
    <w:p w:rsidR="00B3060E" w:rsidRDefault="00B3060E" w:rsidP="00A16451">
      <w:r w:rsidRPr="007A07ED">
        <w:t xml:space="preserve">The </w:t>
      </w:r>
      <w:r w:rsidRPr="00A16451">
        <w:rPr>
          <w:b/>
        </w:rPr>
        <w:t>national demand estimate for the next 12 months is 88,000 dwellings</w:t>
      </w:r>
      <w:r w:rsidRPr="007A07ED">
        <w:t xml:space="preserve"> - down from 131,900 in </w:t>
      </w:r>
      <w:r>
        <w:t>June</w:t>
      </w:r>
      <w:r w:rsidRPr="007A07ED">
        <w:t xml:space="preserve"> 2016.  </w:t>
      </w:r>
      <w:r w:rsidR="00CA59CF">
        <w:t>With the continuing decline in supply t</w:t>
      </w:r>
      <w:r w:rsidRPr="007A07ED">
        <w:t xml:space="preserve">his </w:t>
      </w:r>
      <w:r w:rsidR="00CA59CF">
        <w:t>results in</w:t>
      </w:r>
      <w:r w:rsidR="00CB1A17">
        <w:t>dicate</w:t>
      </w:r>
      <w:bookmarkStart w:id="0" w:name="_GoBack"/>
      <w:bookmarkEnd w:id="0"/>
      <w:r w:rsidRPr="007A07ED">
        <w:t xml:space="preserve"> a national nett shortage – the gap between numbers of definite buyers and numbers of definite sellers - of around 48,700 dwellings to meet demand</w:t>
      </w:r>
      <w:r>
        <w:t>.</w:t>
      </w:r>
    </w:p>
    <w:p w:rsidR="00B3060E" w:rsidRDefault="00B3060E" w:rsidP="00B3060E">
      <w:pPr>
        <w:ind w:left="426"/>
      </w:pPr>
    </w:p>
    <w:p w:rsidR="00A16451" w:rsidRDefault="00B3060E" w:rsidP="00A16451">
      <w:r>
        <w:t xml:space="preserve">The shortage is down from </w:t>
      </w:r>
      <w:r w:rsidRPr="007A07ED">
        <w:t xml:space="preserve">the 84,800 reported in </w:t>
      </w:r>
      <w:r>
        <w:t>June</w:t>
      </w:r>
      <w:r w:rsidRPr="007A07ED">
        <w:t xml:space="preserve"> 2016.</w:t>
      </w:r>
      <w:r w:rsidR="00A16451" w:rsidRPr="00A16451">
        <w:t xml:space="preserve"> </w:t>
      </w:r>
    </w:p>
    <w:p w:rsidR="00A16451" w:rsidRDefault="00A16451" w:rsidP="00A16451"/>
    <w:p w:rsidR="00A16451" w:rsidRDefault="00A16451" w:rsidP="00A16451">
      <w:r>
        <w:t>The supply and demand projections for Auckland, Wellington and Christchurch are:</w:t>
      </w:r>
    </w:p>
    <w:p w:rsidR="00B3060E" w:rsidRPr="007A07ED" w:rsidRDefault="00B3060E" w:rsidP="00A16451"/>
    <w:p w:rsidR="00B3060E" w:rsidRPr="007A07ED" w:rsidRDefault="00B3060E" w:rsidP="00B3060E">
      <w:pPr>
        <w:ind w:left="426"/>
      </w:pPr>
    </w:p>
    <w:p w:rsidR="00A16451" w:rsidRDefault="00A16451" w:rsidP="00A16451">
      <w:r>
        <w:rPr>
          <w:noProof/>
          <w:lang w:val="en-NZ" w:eastAsia="en-NZ"/>
        </w:rPr>
        <w:drawing>
          <wp:inline distT="0" distB="0" distL="0" distR="0" wp14:anchorId="6A230228" wp14:editId="5C16A999">
            <wp:extent cx="5429250" cy="33909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16451" w:rsidRDefault="00A16451" w:rsidP="00A16451"/>
    <w:p w:rsidR="00B3060E" w:rsidRPr="007A07ED" w:rsidRDefault="00B3060E" w:rsidP="00A16451">
      <w:r w:rsidRPr="007A07ED">
        <w:t xml:space="preserve">In Auckland there is an estimated undersupply of 23,200 dwellings – a 44% decrease on </w:t>
      </w:r>
      <w:r>
        <w:t>June</w:t>
      </w:r>
      <w:r w:rsidRPr="007A07ED">
        <w:t xml:space="preserve"> 2016’s 41,200 dwelling shortfall.  This has resulted from a decrease in definite buying intention from 12% in </w:t>
      </w:r>
      <w:r>
        <w:t>June</w:t>
      </w:r>
      <w:r w:rsidRPr="007A07ED">
        <w:t xml:space="preserve"> 2016 to 6% in February 2017</w:t>
      </w:r>
      <w:r>
        <w:t>. The definite selling intention in Auckland dropped from 3% in Jun 2016 to 1%</w:t>
      </w:r>
      <w:r w:rsidR="00CA59CF">
        <w:t>, which may mean a shortage of properties being offered for sale later in the year.</w:t>
      </w:r>
    </w:p>
    <w:p w:rsidR="00A16451" w:rsidRDefault="00A16451" w:rsidP="00A16451"/>
    <w:p w:rsidR="00B3060E" w:rsidRDefault="00B3060E" w:rsidP="00A16451">
      <w:r w:rsidRPr="007A07ED">
        <w:t xml:space="preserve">The total Auckland gap represents 48% of the national undersupply.  </w:t>
      </w:r>
    </w:p>
    <w:p w:rsidR="00A16451" w:rsidRDefault="00A16451" w:rsidP="00A16451"/>
    <w:p w:rsidR="00B3060E" w:rsidRDefault="00B3060E" w:rsidP="00B3060E">
      <w:pPr>
        <w:ind w:left="426"/>
      </w:pPr>
    </w:p>
    <w:p w:rsidR="00B3060E" w:rsidRDefault="00A16451" w:rsidP="00B3060E">
      <w:pPr>
        <w:ind w:left="426"/>
      </w:pPr>
      <w:r>
        <w:rPr>
          <w:noProof/>
          <w:lang w:val="en-NZ" w:eastAsia="en-NZ"/>
        </w:rPr>
        <w:lastRenderedPageBreak/>
        <w:drawing>
          <wp:inline distT="0" distB="0" distL="0" distR="0" wp14:anchorId="3F2DF63C" wp14:editId="614C1FFB">
            <wp:extent cx="5448300" cy="3676650"/>
            <wp:effectExtent l="0" t="0" r="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3060E" w:rsidRDefault="00B3060E" w:rsidP="00B3060E">
      <w:pPr>
        <w:ind w:left="426"/>
      </w:pPr>
    </w:p>
    <w:p w:rsidR="00B3060E" w:rsidRPr="0038733C" w:rsidRDefault="00B3060E" w:rsidP="00B3060E">
      <w:pPr>
        <w:ind w:left="426"/>
      </w:pPr>
    </w:p>
    <w:p w:rsidR="00B3060E" w:rsidRDefault="00B3060E" w:rsidP="00B3060E">
      <w:pPr>
        <w:ind w:left="426"/>
      </w:pPr>
      <w:r w:rsidRPr="007A07ED">
        <w:t>The Wellington Urban Areas continue to show an undersupply</w:t>
      </w:r>
      <w:r>
        <w:t xml:space="preserve">.  There was a similar decline in both definite buying and definite selling intention, resulting in the supply gap </w:t>
      </w:r>
      <w:r w:rsidR="00A16451">
        <w:t>remaining</w:t>
      </w:r>
      <w:r>
        <w:t xml:space="preserve"> at 8,500 dwellings.</w:t>
      </w:r>
    </w:p>
    <w:p w:rsidR="00A16451" w:rsidRDefault="00A16451" w:rsidP="00B3060E">
      <w:pPr>
        <w:ind w:left="426"/>
      </w:pPr>
    </w:p>
    <w:p w:rsidR="00A16451" w:rsidRDefault="00A16451" w:rsidP="00A16451">
      <w:pPr>
        <w:jc w:val="center"/>
      </w:pPr>
      <w:r>
        <w:rPr>
          <w:noProof/>
          <w:lang w:val="en-NZ" w:eastAsia="en-NZ"/>
        </w:rPr>
        <w:drawing>
          <wp:inline distT="0" distB="0" distL="0" distR="0" wp14:anchorId="4FBFCD43" wp14:editId="0C325EAE">
            <wp:extent cx="5429250" cy="36957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6451" w:rsidRDefault="00A16451" w:rsidP="00A16451"/>
    <w:p w:rsidR="00B3060E" w:rsidRDefault="00B3060E" w:rsidP="00A16451">
      <w:r>
        <w:lastRenderedPageBreak/>
        <w:t>Both d</w:t>
      </w:r>
      <w:r w:rsidRPr="007A07ED">
        <w:t>efinite buying</w:t>
      </w:r>
      <w:r>
        <w:t xml:space="preserve"> and definite selling intention </w:t>
      </w:r>
      <w:r w:rsidRPr="007A07ED">
        <w:t xml:space="preserve">increased </w:t>
      </w:r>
      <w:r>
        <w:t>by the same amount in Christchurch, resulting in the supply gap being maintained at 2,800 dwellings.</w:t>
      </w:r>
    </w:p>
    <w:p w:rsidR="00B3060E" w:rsidRDefault="00B3060E" w:rsidP="00B3060E">
      <w:pPr>
        <w:ind w:left="426"/>
      </w:pPr>
    </w:p>
    <w:p w:rsidR="00DD08CC" w:rsidRDefault="00DD08CC"/>
    <w:p w:rsidR="00DD08CC" w:rsidRPr="00DA1C65" w:rsidRDefault="00DD08CC" w:rsidP="00DD08CC">
      <w:pPr>
        <w:rPr>
          <w:i/>
          <w:sz w:val="20"/>
          <w:szCs w:val="20"/>
        </w:rPr>
      </w:pPr>
      <w:r w:rsidRPr="00DA1C65">
        <w:rPr>
          <w:i/>
          <w:sz w:val="20"/>
          <w:szCs w:val="20"/>
        </w:rPr>
        <w:t xml:space="preserve">*Source: Horizon Research Property Media Survey, </w:t>
      </w:r>
      <w:r>
        <w:rPr>
          <w:i/>
          <w:sz w:val="20"/>
          <w:szCs w:val="20"/>
        </w:rPr>
        <w:t>February 2017</w:t>
      </w:r>
      <w:r w:rsidRPr="00DA1C65">
        <w:rPr>
          <w:i/>
          <w:sz w:val="20"/>
          <w:szCs w:val="20"/>
        </w:rPr>
        <w:t xml:space="preserve">. Sample </w:t>
      </w:r>
      <w:proofErr w:type="gramStart"/>
      <w:r>
        <w:rPr>
          <w:i/>
          <w:sz w:val="20"/>
          <w:szCs w:val="20"/>
        </w:rPr>
        <w:t>2,066</w:t>
      </w:r>
      <w:r w:rsidRPr="00DA1C65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aged</w:t>
      </w:r>
      <w:proofErr w:type="gramEnd"/>
      <w:r>
        <w:rPr>
          <w:i/>
          <w:sz w:val="20"/>
          <w:szCs w:val="20"/>
        </w:rPr>
        <w:t xml:space="preserve"> </w:t>
      </w:r>
      <w:r w:rsidRPr="00DA1C65">
        <w:rPr>
          <w:i/>
          <w:sz w:val="20"/>
          <w:szCs w:val="20"/>
        </w:rPr>
        <w:t xml:space="preserve">18+. Maximum margin of error +/- 2.2% </w:t>
      </w:r>
    </w:p>
    <w:p w:rsidR="00DD08CC" w:rsidRDefault="00DD08CC"/>
    <w:p w:rsidR="00DD08CC" w:rsidRDefault="00DD08CC"/>
    <w:p w:rsidR="00DD08CC" w:rsidRDefault="00DD08CC"/>
    <w:sectPr w:rsidR="00DD0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4E27"/>
    <w:multiLevelType w:val="hybridMultilevel"/>
    <w:tmpl w:val="C1C896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cInman">
    <w15:presenceInfo w15:providerId="None" w15:userId="McIn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8CC"/>
    <w:rsid w:val="000023FB"/>
    <w:rsid w:val="00515B9C"/>
    <w:rsid w:val="0061090D"/>
    <w:rsid w:val="008C4A63"/>
    <w:rsid w:val="00993776"/>
    <w:rsid w:val="00A16451"/>
    <w:rsid w:val="00B3060E"/>
    <w:rsid w:val="00CA59CF"/>
    <w:rsid w:val="00CB1A17"/>
    <w:rsid w:val="00DD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C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8CC"/>
    <w:pPr>
      <w:spacing w:after="100" w:line="276" w:lineRule="auto"/>
      <w:ind w:left="720"/>
      <w:contextualSpacing/>
    </w:pPr>
    <w:rPr>
      <w:rFonts w:eastAsiaTheme="minorHAns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0E"/>
    <w:rPr>
      <w:rFonts w:ascii="Tahoma" w:eastAsiaTheme="minorEastAsi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8CC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8CC"/>
    <w:pPr>
      <w:spacing w:after="100" w:line="276" w:lineRule="auto"/>
      <w:ind w:left="720"/>
      <w:contextualSpacing/>
    </w:pPr>
    <w:rPr>
      <w:rFonts w:eastAsiaTheme="minorHAnsi"/>
      <w:sz w:val="22"/>
      <w:szCs w:val="22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0E"/>
    <w:rPr>
      <w:rFonts w:ascii="Tahoma" w:eastAsiaTheme="minorEastAsi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\Grant\Horizon\Property%20Press\February%202017\Copy%20of%20PP%20Feb%202017%20V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\Grant\Horizon\Property%20Press\February%202017\Copy%20of%20PP%20Feb%202017%20V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\Grant\Horizon\Property%20Press\February%202017\Copy%20of%20PP%20Feb%202017%20V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E:\My%20Documents\Grant\Horizon\Property%20Press\February%202017\Copy%20of%20PP%20Feb%202017%20V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Definite buying and selling intentions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- National</a:t>
            </a:r>
          </a:p>
        </c:rich>
      </c:tx>
      <c:layout>
        <c:manualLayout>
          <c:xMode val="edge"/>
          <c:yMode val="edge"/>
          <c:x val="0.19946974285556962"/>
          <c:y val="2.33236051694681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38624892168199E-2"/>
          <c:y val="0.18689040612799551"/>
          <c:w val="0.89519097700200068"/>
          <c:h val="0.54243068673019657"/>
        </c:manualLayout>
      </c:layout>
      <c:lineChart>
        <c:grouping val="standard"/>
        <c:varyColors val="0"/>
        <c:ser>
          <c:idx val="0"/>
          <c:order val="0"/>
          <c:tx>
            <c:strRef>
              <c:f>'Buying and Selling'!$X$8</c:f>
              <c:strCache>
                <c:ptCount val="1"/>
                <c:pt idx="0">
                  <c:v>I'm definitely looking to buy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noFill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dLbl>
              <c:idx val="12"/>
              <c:layout>
                <c:manualLayout>
                  <c:x val="-1.4796174953655268E-2"/>
                  <c:y val="-4.48967463972663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name>Definitely buy trend</c:nam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Selling'!$Y$6:$AK$6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 
2017</c:v>
                </c:pt>
              </c:strCache>
            </c:strRef>
          </c:cat>
          <c:val>
            <c:numRef>
              <c:f>'Buying and Selling'!$Y$8:$AK$8</c:f>
              <c:numCache>
                <c:formatCode>0.0%</c:formatCode>
                <c:ptCount val="13"/>
                <c:pt idx="0">
                  <c:v>0.08</c:v>
                </c:pt>
                <c:pt idx="1">
                  <c:v>6.5000000000000002E-2</c:v>
                </c:pt>
                <c:pt idx="2">
                  <c:v>6.2E-2</c:v>
                </c:pt>
                <c:pt idx="3">
                  <c:v>5.7000000000000002E-2</c:v>
                </c:pt>
                <c:pt idx="4">
                  <c:v>5.0999999999999997E-2</c:v>
                </c:pt>
                <c:pt idx="5">
                  <c:v>5.6000000000000001E-2</c:v>
                </c:pt>
                <c:pt idx="6">
                  <c:v>5.7000000000000002E-2</c:v>
                </c:pt>
                <c:pt idx="7">
                  <c:v>6.8000000000000005E-2</c:v>
                </c:pt>
                <c:pt idx="8">
                  <c:v>6.8000000000000005E-2</c:v>
                </c:pt>
                <c:pt idx="9">
                  <c:v>5.8999999999999997E-2</c:v>
                </c:pt>
                <c:pt idx="10">
                  <c:v>9.1999999999999998E-2</c:v>
                </c:pt>
                <c:pt idx="11">
                  <c:v>8.4000000000000005E-2</c:v>
                </c:pt>
                <c:pt idx="12">
                  <c:v>5.6000000000000001E-2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'Buying and Selling'!$X$10</c:f>
              <c:strCache>
                <c:ptCount val="1"/>
                <c:pt idx="0">
                  <c:v>I'm definitely going to sell</c:v>
                </c:pt>
              </c:strCache>
            </c:strRef>
          </c:tx>
          <c:spPr>
            <a:ln w="31750">
              <a:solidFill>
                <a:schemeClr val="accent2"/>
              </a:solidFill>
            </a:ln>
          </c:spPr>
          <c:marker>
            <c:symbol val="circle"/>
            <c:size val="5"/>
            <c:spPr>
              <a:solidFill>
                <a:schemeClr val="accent2"/>
              </a:solidFill>
              <a:ln>
                <a:noFill/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 algn="ctr">
                  <a:defRPr lang="en-NZ"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name>Definitely sell trend</c:name>
            <c:spPr>
              <a:ln>
                <a:solidFill>
                  <a:schemeClr val="accent2"/>
                </a:solidFill>
                <a:prstDash val="sysDash"/>
              </a:ln>
            </c:spPr>
            <c:trendlineType val="linear"/>
            <c:dispRSqr val="0"/>
            <c:dispEq val="0"/>
          </c:trendline>
          <c:cat>
            <c:strRef>
              <c:f>'Buying and Selling'!$Y$6:$AK$6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 
2017</c:v>
                </c:pt>
              </c:strCache>
            </c:strRef>
          </c:cat>
          <c:val>
            <c:numRef>
              <c:f>'Buying and Selling'!$Y$10:$AK$10</c:f>
              <c:numCache>
                <c:formatCode>0.0%</c:formatCode>
                <c:ptCount val="13"/>
                <c:pt idx="0">
                  <c:v>4.7E-2</c:v>
                </c:pt>
                <c:pt idx="1">
                  <c:v>4.4999999999999998E-2</c:v>
                </c:pt>
                <c:pt idx="2">
                  <c:v>0.05</c:v>
                </c:pt>
                <c:pt idx="3">
                  <c:v>4.4999999999999998E-2</c:v>
                </c:pt>
                <c:pt idx="4">
                  <c:v>0.05</c:v>
                </c:pt>
                <c:pt idx="5">
                  <c:v>0.04</c:v>
                </c:pt>
                <c:pt idx="6">
                  <c:v>4.4999999999999998E-2</c:v>
                </c:pt>
                <c:pt idx="7">
                  <c:v>3.5999999999999997E-2</c:v>
                </c:pt>
                <c:pt idx="8">
                  <c:v>4.1000000000000002E-2</c:v>
                </c:pt>
                <c:pt idx="9">
                  <c:v>0.04</c:v>
                </c:pt>
                <c:pt idx="10">
                  <c:v>3.4000000000000002E-2</c:v>
                </c:pt>
                <c:pt idx="11">
                  <c:v>0.03</c:v>
                </c:pt>
                <c:pt idx="12">
                  <c:v>2.5000000000000001E-2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86917888"/>
        <c:axId val="149328640"/>
      </c:lineChart>
      <c:catAx>
        <c:axId val="386917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328640"/>
        <c:crosses val="autoZero"/>
        <c:auto val="1"/>
        <c:lblAlgn val="ctr"/>
        <c:lblOffset val="100"/>
        <c:noMultiLvlLbl val="0"/>
      </c:catAx>
      <c:valAx>
        <c:axId val="149328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86917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Definite buying and selling intentions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- Auckland Council</a:t>
            </a:r>
            <a:r>
              <a:rPr lang="en-NZ" baseline="0"/>
              <a:t> area</a:t>
            </a:r>
            <a:endParaRPr lang="en-NZ"/>
          </a:p>
        </c:rich>
      </c:tx>
      <c:layout>
        <c:manualLayout>
          <c:xMode val="edge"/>
          <c:yMode val="edge"/>
          <c:x val="0.21578675917258594"/>
          <c:y val="2.332354401645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386264216972829E-2"/>
          <c:y val="0.19480351414406533"/>
          <c:w val="0.89519097700200068"/>
          <c:h val="0.5366182875789175"/>
        </c:manualLayout>
      </c:layout>
      <c:lineChart>
        <c:grouping val="standard"/>
        <c:varyColors val="0"/>
        <c:ser>
          <c:idx val="0"/>
          <c:order val="0"/>
          <c:tx>
            <c:strRef>
              <c:f>'Buying and Selling'!$I$133</c:f>
              <c:strCache>
                <c:ptCount val="1"/>
                <c:pt idx="0">
                  <c:v>I'm definitely looking to buy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noFill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buy trend</c:nam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Selling'!$J$131:$V$131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Selling'!$J$133:$V$133</c:f>
              <c:numCache>
                <c:formatCode>0.0%</c:formatCode>
                <c:ptCount val="13"/>
                <c:pt idx="0">
                  <c:v>8.5000000000000006E-2</c:v>
                </c:pt>
                <c:pt idx="1">
                  <c:v>0.10199999999999999</c:v>
                </c:pt>
                <c:pt idx="2">
                  <c:v>7.5999999999999998E-2</c:v>
                </c:pt>
                <c:pt idx="3">
                  <c:v>7.8E-2</c:v>
                </c:pt>
                <c:pt idx="4">
                  <c:v>7.1999999999999995E-2</c:v>
                </c:pt>
                <c:pt idx="5">
                  <c:v>4.8000000000000001E-2</c:v>
                </c:pt>
                <c:pt idx="6">
                  <c:v>7.2999999999999995E-2</c:v>
                </c:pt>
                <c:pt idx="7">
                  <c:v>8.6999999999999994E-2</c:v>
                </c:pt>
                <c:pt idx="8">
                  <c:v>6.9000000000000006E-2</c:v>
                </c:pt>
                <c:pt idx="9">
                  <c:v>5.8999999999999997E-2</c:v>
                </c:pt>
                <c:pt idx="10">
                  <c:v>0.1</c:v>
                </c:pt>
                <c:pt idx="11">
                  <c:v>0.11899999999999999</c:v>
                </c:pt>
                <c:pt idx="12">
                  <c:v>6.2E-2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'Buying and Selling'!$I$135</c:f>
              <c:strCache>
                <c:ptCount val="1"/>
                <c:pt idx="0">
                  <c:v>I'm definitely going to sell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sell trend</c:name>
            <c:spPr>
              <a:ln w="19050" cap="rnd">
                <a:solidFill>
                  <a:schemeClr val="accent2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Selling'!$J$131:$V$131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Selling'!$J$135:$V$135</c:f>
              <c:numCache>
                <c:formatCode>0.0%</c:formatCode>
                <c:ptCount val="13"/>
                <c:pt idx="0">
                  <c:v>4.2000000000000003E-2</c:v>
                </c:pt>
                <c:pt idx="1">
                  <c:v>3.4000000000000002E-2</c:v>
                </c:pt>
                <c:pt idx="2">
                  <c:v>3.7999999999999999E-2</c:v>
                </c:pt>
                <c:pt idx="3">
                  <c:v>5.2999999999999999E-2</c:v>
                </c:pt>
                <c:pt idx="4">
                  <c:v>3.9E-2</c:v>
                </c:pt>
                <c:pt idx="5">
                  <c:v>0.02</c:v>
                </c:pt>
                <c:pt idx="6">
                  <c:v>3.1E-2</c:v>
                </c:pt>
                <c:pt idx="7">
                  <c:v>3.4000000000000002E-2</c:v>
                </c:pt>
                <c:pt idx="8">
                  <c:v>2.4E-2</c:v>
                </c:pt>
                <c:pt idx="9">
                  <c:v>2.9000000000000001E-2</c:v>
                </c:pt>
                <c:pt idx="10">
                  <c:v>3.3000000000000002E-2</c:v>
                </c:pt>
                <c:pt idx="11">
                  <c:v>3.2000000000000001E-2</c:v>
                </c:pt>
                <c:pt idx="12">
                  <c:v>1.2999999999999999E-2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349888"/>
        <c:axId val="149351424"/>
      </c:lineChart>
      <c:catAx>
        <c:axId val="149349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351424"/>
        <c:crosses val="autoZero"/>
        <c:auto val="1"/>
        <c:lblAlgn val="ctr"/>
        <c:lblOffset val="100"/>
        <c:noMultiLvlLbl val="0"/>
      </c:catAx>
      <c:valAx>
        <c:axId val="14935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34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en-NZ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en-NZ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rPr>
              <a:t>Definite buying and selling intentions</a:t>
            </a:r>
          </a:p>
          <a:p>
            <a:pPr algn="ctr" rtl="0">
              <a:defRPr lang="en-NZ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en-NZ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rPr>
              <a:t>- Wellington Urban areas</a:t>
            </a:r>
          </a:p>
          <a:p>
            <a:pPr algn="ctr" rtl="0">
              <a:defRPr lang="en-NZ" sz="16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defRPr>
            </a:pPr>
            <a:r>
              <a:rPr lang="en-NZ" sz="1100" b="1" i="0" u="none" strike="noStrike" kern="1200" baseline="0">
                <a:solidFill>
                  <a:srgbClr val="44546A"/>
                </a:solidFill>
                <a:latin typeface="+mn-lt"/>
                <a:ea typeface="+mn-ea"/>
                <a:cs typeface="+mn-cs"/>
              </a:rPr>
              <a:t>(Kapiti District, Porirua City, Wellington City, Hutt City, Upper Hutt City)</a:t>
            </a:r>
          </a:p>
        </c:rich>
      </c:tx>
      <c:layout>
        <c:manualLayout>
          <c:xMode val="edge"/>
          <c:yMode val="edge"/>
          <c:x val="0.15051869390452069"/>
          <c:y val="1.971994041285379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386264216972829E-2"/>
          <c:y val="0.19480351414406533"/>
          <c:w val="0.89519097700200068"/>
          <c:h val="0.5366182875789175"/>
        </c:manualLayout>
      </c:layout>
      <c:lineChart>
        <c:grouping val="standard"/>
        <c:varyColors val="0"/>
        <c:ser>
          <c:idx val="0"/>
          <c:order val="0"/>
          <c:tx>
            <c:strRef>
              <c:f>'Buying and Selling'!$I$133</c:f>
              <c:strCache>
                <c:ptCount val="1"/>
                <c:pt idx="0">
                  <c:v>I'm definitely looking to buy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 w="12700">
                <a:noFill/>
                <a:round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</c:marker>
          <c:dLbls>
            <c:dLbl>
              <c:idx val="0"/>
              <c:layout>
                <c:manualLayout>
                  <c:x val="-3.8549088706569021E-2"/>
                  <c:y val="-6.44415123785202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49088706569021E-2"/>
                  <c:y val="2.56485777115698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8549088706568937E-2"/>
                  <c:y val="4.36665957295877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buy trend</c:nam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Selling'!$J$145:$V$145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Selling'!$J$147:$V$147</c:f>
              <c:numCache>
                <c:formatCode>0.0%</c:formatCode>
                <c:ptCount val="13"/>
                <c:pt idx="0">
                  <c:v>3.2000000000000001E-2</c:v>
                </c:pt>
                <c:pt idx="1">
                  <c:v>5.0999999999999997E-2</c:v>
                </c:pt>
                <c:pt idx="2">
                  <c:v>6.9000000000000006E-2</c:v>
                </c:pt>
                <c:pt idx="3">
                  <c:v>5.1999999999999998E-2</c:v>
                </c:pt>
                <c:pt idx="4">
                  <c:v>6.2E-2</c:v>
                </c:pt>
                <c:pt idx="5">
                  <c:v>3.2000000000000001E-2</c:v>
                </c:pt>
                <c:pt idx="6">
                  <c:v>5.5E-2</c:v>
                </c:pt>
                <c:pt idx="7">
                  <c:v>7.0999999999999994E-2</c:v>
                </c:pt>
                <c:pt idx="8">
                  <c:v>5.3999999999999999E-2</c:v>
                </c:pt>
                <c:pt idx="9">
                  <c:v>8.6999999999999994E-2</c:v>
                </c:pt>
                <c:pt idx="10">
                  <c:v>0.10199999999999999</c:v>
                </c:pt>
                <c:pt idx="11">
                  <c:v>8.3000000000000004E-2</c:v>
                </c:pt>
                <c:pt idx="12">
                  <c:v>7.5999999999999998E-2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'Buying and Selling'!$I$135</c:f>
              <c:strCache>
                <c:ptCount val="1"/>
                <c:pt idx="0">
                  <c:v>I'm definitely going to sell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3.9714589872070188E-2"/>
                  <c:y val="6.624331418032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6707596865077181E-2"/>
                  <c:y val="-3.1053983116975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9714589872070188E-2"/>
                  <c:y val="-2.0243172306164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9714589872070098E-2"/>
                  <c:y val="-2.38467759097680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sell trend</c:name>
            <c:spPr>
              <a:ln w="19050" cap="rnd">
                <a:solidFill>
                  <a:schemeClr val="accent2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Selling'!$J$145:$V$145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Selling'!$J$149:$V$149</c:f>
              <c:numCache>
                <c:formatCode>0.0%</c:formatCode>
                <c:ptCount val="13"/>
                <c:pt idx="0">
                  <c:v>4.1000000000000002E-2</c:v>
                </c:pt>
                <c:pt idx="1">
                  <c:v>4.2999999999999997E-2</c:v>
                </c:pt>
                <c:pt idx="2">
                  <c:v>0.06</c:v>
                </c:pt>
                <c:pt idx="3">
                  <c:v>4.8000000000000001E-2</c:v>
                </c:pt>
                <c:pt idx="4">
                  <c:v>4.8000000000000001E-2</c:v>
                </c:pt>
                <c:pt idx="5">
                  <c:v>0.05</c:v>
                </c:pt>
                <c:pt idx="6">
                  <c:v>9.8000000000000004E-2</c:v>
                </c:pt>
                <c:pt idx="7">
                  <c:v>3.7999999999999999E-2</c:v>
                </c:pt>
                <c:pt idx="8">
                  <c:v>7.3999999999999996E-2</c:v>
                </c:pt>
                <c:pt idx="9">
                  <c:v>3.9E-2</c:v>
                </c:pt>
                <c:pt idx="10">
                  <c:v>1.7000000000000001E-2</c:v>
                </c:pt>
                <c:pt idx="11">
                  <c:v>0.03</c:v>
                </c:pt>
                <c:pt idx="12">
                  <c:v>2.1000000000000001E-2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832448"/>
        <c:axId val="169833984"/>
      </c:lineChart>
      <c:catAx>
        <c:axId val="169832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33984"/>
        <c:crosses val="autoZero"/>
        <c:auto val="1"/>
        <c:lblAlgn val="ctr"/>
        <c:lblOffset val="100"/>
        <c:noMultiLvlLbl val="0"/>
      </c:catAx>
      <c:valAx>
        <c:axId val="169833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32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N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Definite buying and selling intentions</a:t>
            </a:r>
          </a:p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NZ"/>
              <a:t>- Christchurch City</a:t>
            </a:r>
          </a:p>
        </c:rich>
      </c:tx>
      <c:layout>
        <c:manualLayout>
          <c:xMode val="edge"/>
          <c:yMode val="edge"/>
          <c:x val="0.21578675917258594"/>
          <c:y val="2.3323544016457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8.2386264216972829E-2"/>
          <c:y val="0.19480351414406533"/>
          <c:w val="0.89519097700200068"/>
          <c:h val="0.5366182875789175"/>
        </c:manualLayout>
      </c:layout>
      <c:lineChart>
        <c:grouping val="standard"/>
        <c:varyColors val="0"/>
        <c:ser>
          <c:idx val="0"/>
          <c:order val="0"/>
          <c:tx>
            <c:strRef>
              <c:f>'Buying and Selling'!$I$164</c:f>
              <c:strCache>
                <c:ptCount val="1"/>
                <c:pt idx="0">
                  <c:v>I'm definitely looking to buy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dLbl>
              <c:idx val="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9038599196079509E-2"/>
                  <c:y val="-4.462169255870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3.0390580548060948E-2"/>
                  <c:y val="-4.4621692558700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1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buy trend</c:name>
            <c:spPr>
              <a:ln w="19050" cap="rnd">
                <a:solidFill>
                  <a:schemeClr val="accent1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Selling'!$J$162:$V$162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Selling'!$J$164:$V$164</c:f>
              <c:numCache>
                <c:formatCode>0.0%</c:formatCode>
                <c:ptCount val="13"/>
                <c:pt idx="0">
                  <c:v>2.7E-2</c:v>
                </c:pt>
                <c:pt idx="1">
                  <c:v>3.9E-2</c:v>
                </c:pt>
                <c:pt idx="2">
                  <c:v>4.7E-2</c:v>
                </c:pt>
                <c:pt idx="3">
                  <c:v>4.5999999999999999E-2</c:v>
                </c:pt>
                <c:pt idx="4">
                  <c:v>2.7E-2</c:v>
                </c:pt>
                <c:pt idx="5">
                  <c:v>5.8999999999999997E-2</c:v>
                </c:pt>
                <c:pt idx="6">
                  <c:v>6.7000000000000004E-2</c:v>
                </c:pt>
                <c:pt idx="7">
                  <c:v>0.112</c:v>
                </c:pt>
                <c:pt idx="8">
                  <c:v>6.6000000000000003E-2</c:v>
                </c:pt>
                <c:pt idx="9">
                  <c:v>3.3000000000000002E-2</c:v>
                </c:pt>
                <c:pt idx="10">
                  <c:v>4.2000000000000003E-2</c:v>
                </c:pt>
                <c:pt idx="11">
                  <c:v>6.9000000000000006E-2</c:v>
                </c:pt>
                <c:pt idx="12">
                  <c:v>7.9000000000000001E-2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'Buying and Selling'!$I$166</c:f>
              <c:strCache>
                <c:ptCount val="1"/>
                <c:pt idx="0">
                  <c:v>I'm definitely going to sell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6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 w="12700">
                <a:solidFill>
                  <a:schemeClr val="lt2"/>
                </a:solidFill>
                <a:round/>
              </a:ln>
              <a:effectLst/>
            </c:spPr>
          </c:marker>
          <c:dLbls>
            <c:dLbl>
              <c:idx val="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accent2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name>Definitely sell trend</c:name>
            <c:spPr>
              <a:ln w="19050" cap="rnd">
                <a:solidFill>
                  <a:schemeClr val="accent2"/>
                </a:solidFill>
                <a:prstDash val="sysDash"/>
              </a:ln>
              <a:effectLst/>
            </c:spPr>
            <c:trendlineType val="linear"/>
            <c:dispRSqr val="0"/>
            <c:dispEq val="0"/>
          </c:trendline>
          <c:cat>
            <c:strRef>
              <c:f>'Buying and Selling'!$J$162:$V$162</c:f>
              <c:strCache>
                <c:ptCount val="13"/>
                <c:pt idx="0">
                  <c:v>Oct 
2010</c:v>
                </c:pt>
                <c:pt idx="1">
                  <c:v>Mar 
2011</c:v>
                </c:pt>
                <c:pt idx="2">
                  <c:v>Dec 
2011</c:v>
                </c:pt>
                <c:pt idx="3">
                  <c:v>Jul 
2012</c:v>
                </c:pt>
                <c:pt idx="4">
                  <c:v>Sep  
2012</c:v>
                </c:pt>
                <c:pt idx="5">
                  <c:v>Mar 
2013</c:v>
                </c:pt>
                <c:pt idx="6">
                  <c:v>May 
2013</c:v>
                </c:pt>
                <c:pt idx="7">
                  <c:v>Nov 
2013</c:v>
                </c:pt>
                <c:pt idx="8">
                  <c:v>Feb 
2014</c:v>
                </c:pt>
                <c:pt idx="9">
                  <c:v>Nov 
2014</c:v>
                </c:pt>
                <c:pt idx="10">
                  <c:v>Sep 
2015</c:v>
                </c:pt>
                <c:pt idx="11">
                  <c:v>Jun
2016</c:v>
                </c:pt>
                <c:pt idx="12">
                  <c:v>Feb
2017</c:v>
                </c:pt>
              </c:strCache>
            </c:strRef>
          </c:cat>
          <c:val>
            <c:numRef>
              <c:f>'Buying and Selling'!$J$166:$V$166</c:f>
              <c:numCache>
                <c:formatCode>0.0%</c:formatCode>
                <c:ptCount val="13"/>
                <c:pt idx="0">
                  <c:v>3.9E-2</c:v>
                </c:pt>
                <c:pt idx="1">
                  <c:v>3.6999999999999998E-2</c:v>
                </c:pt>
                <c:pt idx="2">
                  <c:v>4.7E-2</c:v>
                </c:pt>
                <c:pt idx="3">
                  <c:v>0.06</c:v>
                </c:pt>
                <c:pt idx="4">
                  <c:v>2.1999999999999999E-2</c:v>
                </c:pt>
                <c:pt idx="5">
                  <c:v>1.6E-2</c:v>
                </c:pt>
                <c:pt idx="6">
                  <c:v>0.04</c:v>
                </c:pt>
                <c:pt idx="7">
                  <c:v>2.5999999999999999E-2</c:v>
                </c:pt>
                <c:pt idx="8">
                  <c:v>1.4999999999999999E-2</c:v>
                </c:pt>
                <c:pt idx="9">
                  <c:v>0.04</c:v>
                </c:pt>
                <c:pt idx="10">
                  <c:v>1.6E-2</c:v>
                </c:pt>
                <c:pt idx="11">
                  <c:v>4.8000000000000001E-2</c:v>
                </c:pt>
                <c:pt idx="12">
                  <c:v>5.7000000000000002E-2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859328"/>
        <c:axId val="170205184"/>
      </c:lineChart>
      <c:catAx>
        <c:axId val="16985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0205184"/>
        <c:crosses val="autoZero"/>
        <c:auto val="1"/>
        <c:lblAlgn val="ctr"/>
        <c:lblOffset val="100"/>
        <c:noMultiLvlLbl val="0"/>
      </c:catAx>
      <c:valAx>
        <c:axId val="170205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985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1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GC</cp:lastModifiedBy>
  <cp:revision>2</cp:revision>
  <dcterms:created xsi:type="dcterms:W3CDTF">2017-03-30T22:17:00Z</dcterms:created>
  <dcterms:modified xsi:type="dcterms:W3CDTF">2017-03-30T22:17:00Z</dcterms:modified>
</cp:coreProperties>
</file>